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29385" w14:textId="77777777" w:rsidR="002C210F" w:rsidRDefault="002C210F"/>
    <w:tbl>
      <w:tblPr>
        <w:tblW w:w="29670" w:type="dxa"/>
        <w:tblLayout w:type="fixed"/>
        <w:tblLook w:val="04A0" w:firstRow="1" w:lastRow="0" w:firstColumn="1" w:lastColumn="0" w:noHBand="0" w:noVBand="1"/>
      </w:tblPr>
      <w:tblGrid>
        <w:gridCol w:w="9890"/>
        <w:gridCol w:w="9890"/>
        <w:gridCol w:w="9890"/>
      </w:tblGrid>
      <w:tr w:rsidR="008E0822" w14:paraId="56604C9C" w14:textId="77777777" w:rsidTr="008E0822">
        <w:tc>
          <w:tcPr>
            <w:tcW w:w="9889" w:type="dxa"/>
          </w:tcPr>
          <w:p w14:paraId="3BF23526" w14:textId="5FA855BC" w:rsidR="008E0822" w:rsidRDefault="008E0822">
            <w:pPr>
              <w:tabs>
                <w:tab w:val="left" w:pos="3750"/>
              </w:tabs>
              <w:suppressAutoHyphens/>
              <w:jc w:val="center"/>
            </w:pPr>
            <w:r>
              <w:rPr>
                <w:noProof/>
              </w:rPr>
              <w:drawing>
                <wp:inline distT="0" distB="0" distL="0" distR="0" wp14:anchorId="468A3F1A" wp14:editId="57EDF4EC">
                  <wp:extent cx="64770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EDD8DB" w14:textId="77777777" w:rsidR="008E0822" w:rsidRDefault="008E0822">
            <w:pPr>
              <w:suppressAutoHyphens/>
              <w:jc w:val="center"/>
            </w:pPr>
          </w:p>
          <w:p w14:paraId="20A53289" w14:textId="77777777" w:rsidR="008E0822" w:rsidRDefault="008E0822">
            <w:pPr>
              <w:suppressAutoHyphens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КОНТРОЛЬНО-СЧЕТНАЯ ПАЛАТА</w:t>
            </w:r>
          </w:p>
          <w:p w14:paraId="7C907799" w14:textId="77777777" w:rsidR="008E0822" w:rsidRDefault="008E0822">
            <w:pPr>
              <w:suppressAutoHyphens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ЗЛАТОУСТОВСКОГО ГОРОДСКОГО ОКРУГА</w:t>
            </w:r>
          </w:p>
          <w:p w14:paraId="4D4933E0" w14:textId="77777777" w:rsidR="008E0822" w:rsidRDefault="008E0822">
            <w:pPr>
              <w:suppressAutoHyphens/>
              <w:jc w:val="center"/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EF0F33" wp14:editId="14270F44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93345</wp:posOffset>
                      </wp:positionV>
                      <wp:extent cx="6286500" cy="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3C5DE76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      </w:pict>
                </mc:Fallback>
              </mc:AlternateContent>
            </w:r>
          </w:p>
          <w:p w14:paraId="0C57E5A1" w14:textId="77777777" w:rsidR="008E0822" w:rsidRDefault="008E0822" w:rsidP="008E0822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9889" w:type="dxa"/>
          </w:tcPr>
          <w:p w14:paraId="23110F62" w14:textId="77777777" w:rsidR="008E0822" w:rsidRDefault="008E0822">
            <w:pPr>
              <w:suppressAutoHyphens/>
              <w:jc w:val="center"/>
            </w:pPr>
          </w:p>
        </w:tc>
        <w:tc>
          <w:tcPr>
            <w:tcW w:w="9889" w:type="dxa"/>
          </w:tcPr>
          <w:p w14:paraId="6087D76D" w14:textId="77777777" w:rsidR="008E0822" w:rsidRDefault="008E0822">
            <w:pPr>
              <w:suppressAutoHyphens/>
              <w:jc w:val="center"/>
            </w:pPr>
          </w:p>
        </w:tc>
      </w:tr>
    </w:tbl>
    <w:p w14:paraId="4767D89C" w14:textId="77777777" w:rsidR="008E0822" w:rsidRDefault="008E0822" w:rsidP="008E0822">
      <w:pPr>
        <w:suppressAutoHyphens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14:paraId="75EDADA3" w14:textId="77777777" w:rsidR="008E0822" w:rsidRDefault="008E0822" w:rsidP="008E082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по результатам проведения экспертно-аналитического мероприятия </w:t>
      </w:r>
    </w:p>
    <w:p w14:paraId="46E392D9" w14:textId="7F160C0F" w:rsidR="005C5FB4" w:rsidRDefault="008E0822" w:rsidP="00D208AA">
      <w:pPr>
        <w:jc w:val="center"/>
        <w:rPr>
          <w:rFonts w:cstheme="minorBidi"/>
          <w:b/>
          <w:sz w:val="28"/>
          <w:szCs w:val="28"/>
        </w:rPr>
      </w:pPr>
      <w:r>
        <w:rPr>
          <w:b/>
          <w:bCs/>
          <w:sz w:val="28"/>
          <w:szCs w:val="28"/>
        </w:rPr>
        <w:t>«М</w:t>
      </w:r>
      <w:r>
        <w:rPr>
          <w:b/>
          <w:sz w:val="28"/>
          <w:szCs w:val="28"/>
        </w:rPr>
        <w:t xml:space="preserve">ониторинга исполнения региональных проектов за 1 </w:t>
      </w:r>
      <w:r w:rsidR="00A41C34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202</w:t>
      </w:r>
      <w:r w:rsidR="0008657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г.»</w:t>
      </w:r>
    </w:p>
    <w:p w14:paraId="747889DD" w14:textId="77777777" w:rsidR="00D208AA" w:rsidRPr="00D208AA" w:rsidRDefault="00D208AA" w:rsidP="00D208AA">
      <w:pPr>
        <w:jc w:val="center"/>
        <w:rPr>
          <w:rFonts w:cstheme="minorBidi"/>
          <w:b/>
          <w:sz w:val="28"/>
          <w:szCs w:val="28"/>
        </w:rPr>
      </w:pPr>
    </w:p>
    <w:p w14:paraId="2ECC12EA" w14:textId="77777777" w:rsidR="00D208AA" w:rsidRDefault="00D208AA" w:rsidP="00D208AA">
      <w:pPr>
        <w:suppressAutoHyphens/>
        <w:ind w:firstLine="567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Экспертно-аналитическое мероприятие проведено в рамках полномочий органа внешнего муниципального финансового контроля, предусмотренных пунктом 9 части 2 статьи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14:paraId="65FE748C" w14:textId="27BCE365" w:rsidR="00D208AA" w:rsidRDefault="00D208AA" w:rsidP="00D208A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мониторинга исполнения региональных проектов                          за 1 </w:t>
      </w:r>
      <w:r w:rsidR="00A41C34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2024 г. отражены в заключении </w:t>
      </w:r>
      <w:r w:rsidRPr="009F465B">
        <w:rPr>
          <w:sz w:val="28"/>
          <w:szCs w:val="28"/>
        </w:rPr>
        <w:t>№</w:t>
      </w:r>
      <w:r w:rsidR="00A41C34">
        <w:rPr>
          <w:sz w:val="28"/>
          <w:szCs w:val="28"/>
        </w:rPr>
        <w:t>73</w:t>
      </w:r>
      <w:r w:rsidRPr="009F465B">
        <w:rPr>
          <w:sz w:val="28"/>
          <w:szCs w:val="28"/>
        </w:rPr>
        <w:t xml:space="preserve"> от </w:t>
      </w:r>
      <w:r w:rsidR="00A41C34">
        <w:rPr>
          <w:sz w:val="28"/>
          <w:szCs w:val="28"/>
        </w:rPr>
        <w:t>3</w:t>
      </w:r>
      <w:r w:rsidRPr="009F465B">
        <w:rPr>
          <w:sz w:val="28"/>
          <w:szCs w:val="28"/>
        </w:rPr>
        <w:t>1.0</w:t>
      </w:r>
      <w:r w:rsidR="00A41C34">
        <w:rPr>
          <w:sz w:val="28"/>
          <w:szCs w:val="28"/>
        </w:rPr>
        <w:t>7</w:t>
      </w:r>
      <w:r w:rsidRPr="009F465B">
        <w:rPr>
          <w:sz w:val="28"/>
          <w:szCs w:val="28"/>
        </w:rPr>
        <w:t>.202</w:t>
      </w:r>
      <w:r>
        <w:rPr>
          <w:sz w:val="28"/>
          <w:szCs w:val="28"/>
        </w:rPr>
        <w:t>4г</w:t>
      </w:r>
      <w:r w:rsidRPr="009F465B">
        <w:rPr>
          <w:sz w:val="28"/>
          <w:szCs w:val="28"/>
        </w:rPr>
        <w:t>.</w:t>
      </w:r>
    </w:p>
    <w:p w14:paraId="7E0A6BFF" w14:textId="676D1E08" w:rsidR="00FC0EDC" w:rsidRDefault="00E844A8" w:rsidP="00FC0EDC">
      <w:pPr>
        <w:ind w:firstLine="567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0" wp14:anchorId="594B63A8" wp14:editId="146C5710">
            <wp:simplePos x="0" y="0"/>
            <wp:positionH relativeFrom="column">
              <wp:posOffset>-357146</wp:posOffset>
            </wp:positionH>
            <wp:positionV relativeFrom="paragraph">
              <wp:posOffset>190528</wp:posOffset>
            </wp:positionV>
            <wp:extent cx="1216025" cy="866140"/>
            <wp:effectExtent l="0" t="0" r="3175" b="10160"/>
            <wp:wrapThrough wrapText="bothSides">
              <wp:wrapPolygon edited="0">
                <wp:start x="0" y="0"/>
                <wp:lineTo x="0" y="21378"/>
                <wp:lineTo x="21318" y="21378"/>
                <wp:lineTo x="21318" y="0"/>
                <wp:lineTo x="0" y="0"/>
              </wp:wrapPolygon>
            </wp:wrapThrough>
            <wp:docPr id="18538223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8AA" w:rsidRPr="00356FC1">
        <w:rPr>
          <w:sz w:val="28"/>
          <w:szCs w:val="28"/>
        </w:rPr>
        <w:t>1.</w:t>
      </w:r>
      <w:r w:rsidR="00FC0EDC" w:rsidRPr="00356FC1">
        <w:rPr>
          <w:sz w:val="28"/>
          <w:szCs w:val="28"/>
        </w:rPr>
        <w:t xml:space="preserve"> </w:t>
      </w:r>
      <w:r w:rsidR="00FC0EDC">
        <w:rPr>
          <w:sz w:val="28"/>
          <w:szCs w:val="28"/>
        </w:rPr>
        <w:t xml:space="preserve">В </w:t>
      </w:r>
      <w:r w:rsidR="00FC0EDC">
        <w:rPr>
          <w:color w:val="000000"/>
          <w:sz w:val="28"/>
          <w:szCs w:val="28"/>
        </w:rPr>
        <w:t>2024 году</w:t>
      </w:r>
      <w:r w:rsidR="00FC0EDC" w:rsidRPr="00693A39">
        <w:rPr>
          <w:bCs/>
          <w:sz w:val="28"/>
          <w:szCs w:val="28"/>
        </w:rPr>
        <w:t xml:space="preserve"> </w:t>
      </w:r>
      <w:r w:rsidR="00FC0EDC">
        <w:rPr>
          <w:bCs/>
          <w:sz w:val="28"/>
          <w:szCs w:val="28"/>
        </w:rPr>
        <w:t xml:space="preserve">в рамках пяти </w:t>
      </w:r>
      <w:r w:rsidR="00FC0EDC" w:rsidRPr="00A51CF9">
        <w:rPr>
          <w:bCs/>
          <w:sz w:val="28"/>
          <w:szCs w:val="28"/>
        </w:rPr>
        <w:t>национальных проектов</w:t>
      </w:r>
      <w:r w:rsidR="00FC0EDC">
        <w:rPr>
          <w:color w:val="000000"/>
          <w:sz w:val="28"/>
          <w:szCs w:val="28"/>
        </w:rPr>
        <w:t xml:space="preserve"> в Златоустовском городском округе запланировано исполнение десяти </w:t>
      </w:r>
      <w:r w:rsidR="00FC0EDC">
        <w:rPr>
          <w:bCs/>
          <w:sz w:val="28"/>
          <w:szCs w:val="28"/>
        </w:rPr>
        <w:t>региональных</w:t>
      </w:r>
      <w:r w:rsidR="00FC0EDC" w:rsidRPr="00D43C11">
        <w:rPr>
          <w:bCs/>
          <w:sz w:val="28"/>
          <w:szCs w:val="28"/>
        </w:rPr>
        <w:t xml:space="preserve"> проектов</w:t>
      </w:r>
      <w:r w:rsidR="00FC0EDC" w:rsidRPr="009C2E05">
        <w:rPr>
          <w:sz w:val="28"/>
          <w:szCs w:val="28"/>
        </w:rPr>
        <w:t xml:space="preserve"> </w:t>
      </w:r>
      <w:r w:rsidR="00FC0EDC">
        <w:rPr>
          <w:sz w:val="28"/>
          <w:szCs w:val="28"/>
        </w:rPr>
        <w:t>Челябинской области</w:t>
      </w:r>
      <w:r w:rsidR="00FC0EDC">
        <w:rPr>
          <w:bCs/>
          <w:sz w:val="28"/>
          <w:szCs w:val="28"/>
        </w:rPr>
        <w:t>, на реализацию которых предусмотрены бюджетные средства в общем объеме 369 656,7 тыс. рублей (4,5% от общего объема бюджетных ассигнований округа).</w:t>
      </w:r>
    </w:p>
    <w:bookmarkEnd w:id="0"/>
    <w:p w14:paraId="359C0F11" w14:textId="70DDFFA8" w:rsidR="00D208AA" w:rsidRPr="00D208AA" w:rsidRDefault="00D208AA" w:rsidP="00FC0EDC">
      <w:pPr>
        <w:suppressAutoHyphens/>
        <w:ind w:firstLine="567"/>
        <w:jc w:val="right"/>
        <w:rPr>
          <w:rFonts w:eastAsia="Calibri"/>
          <w:bCs/>
          <w:lang w:eastAsia="en-US"/>
        </w:rPr>
      </w:pPr>
      <w:r w:rsidRPr="00D208AA">
        <w:rPr>
          <w:rFonts w:eastAsia="Calibri"/>
          <w:bCs/>
          <w:lang w:eastAsia="en-US"/>
        </w:rPr>
        <w:t>Таблица №1</w:t>
      </w:r>
    </w:p>
    <w:p w14:paraId="5BD5D6BE" w14:textId="3BD52AA5" w:rsidR="00D208AA" w:rsidRDefault="00D208AA" w:rsidP="00D208AA">
      <w:pPr>
        <w:ind w:firstLine="567"/>
        <w:jc w:val="right"/>
        <w:rPr>
          <w:rFonts w:eastAsia="Calibri"/>
          <w:bCs/>
          <w:lang w:eastAsia="en-US"/>
        </w:rPr>
      </w:pPr>
      <w:r w:rsidRPr="00D208AA">
        <w:rPr>
          <w:rFonts w:eastAsia="Calibri"/>
          <w:bCs/>
          <w:lang w:eastAsia="en-US"/>
        </w:rPr>
        <w:t>Ед. измерения: тыс. рублей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6803"/>
        <w:gridCol w:w="1274"/>
      </w:tblGrid>
      <w:tr w:rsidR="00FC0EDC" w:rsidRPr="00FC0EDC" w14:paraId="4FBC8AAE" w14:textId="77777777" w:rsidTr="00F93B7A">
        <w:trPr>
          <w:trHeight w:val="60"/>
          <w:tblHeader/>
        </w:trPr>
        <w:tc>
          <w:tcPr>
            <w:tcW w:w="810" w:type="pct"/>
            <w:shd w:val="clear" w:color="auto" w:fill="auto"/>
            <w:vAlign w:val="center"/>
          </w:tcPr>
          <w:p w14:paraId="3D9B195E" w14:textId="77777777" w:rsidR="00FC0EDC" w:rsidRPr="00FC0EDC" w:rsidRDefault="00FC0EDC" w:rsidP="00FC0EDC">
            <w:pPr>
              <w:ind w:firstLine="3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0228FBC6" w14:textId="77777777" w:rsidR="00FC0EDC" w:rsidRPr="00FC0EDC" w:rsidRDefault="00FC0EDC" w:rsidP="00FC0EDC">
            <w:pPr>
              <w:ind w:firstLine="3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C0EDC">
              <w:rPr>
                <w:rFonts w:eastAsia="Calibri"/>
                <w:sz w:val="18"/>
                <w:szCs w:val="18"/>
                <w:lang w:eastAsia="en-US"/>
              </w:rPr>
              <w:t>Национальный проект</w:t>
            </w:r>
          </w:p>
        </w:tc>
        <w:tc>
          <w:tcPr>
            <w:tcW w:w="3529" w:type="pct"/>
            <w:shd w:val="clear" w:color="auto" w:fill="auto"/>
            <w:vAlign w:val="center"/>
          </w:tcPr>
          <w:p w14:paraId="794F9F7C" w14:textId="77777777" w:rsidR="00FC0EDC" w:rsidRPr="00FC0EDC" w:rsidRDefault="00FC0EDC" w:rsidP="00FC0EDC">
            <w:pPr>
              <w:ind w:firstLine="3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C0EDC">
              <w:rPr>
                <w:rFonts w:eastAsia="Calibri"/>
                <w:sz w:val="18"/>
                <w:szCs w:val="18"/>
                <w:lang w:eastAsia="en-US"/>
              </w:rPr>
              <w:t>Региональный проект</w:t>
            </w:r>
          </w:p>
        </w:tc>
        <w:tc>
          <w:tcPr>
            <w:tcW w:w="661" w:type="pct"/>
          </w:tcPr>
          <w:p w14:paraId="7EA65FF7" w14:textId="77777777" w:rsidR="00FC0EDC" w:rsidRPr="00FC0EDC" w:rsidRDefault="00FC0EDC" w:rsidP="00FC0EDC">
            <w:pPr>
              <w:ind w:firstLine="3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C0EDC">
              <w:rPr>
                <w:rFonts w:eastAsia="Calibri"/>
                <w:sz w:val="18"/>
                <w:szCs w:val="18"/>
                <w:lang w:eastAsia="en-US"/>
              </w:rPr>
              <w:t>Бюджетные ассигнования</w:t>
            </w:r>
          </w:p>
        </w:tc>
      </w:tr>
      <w:tr w:rsidR="00FC0EDC" w:rsidRPr="00FC0EDC" w14:paraId="1F9F017A" w14:textId="77777777" w:rsidTr="00F93B7A">
        <w:trPr>
          <w:trHeight w:val="70"/>
        </w:trPr>
        <w:tc>
          <w:tcPr>
            <w:tcW w:w="810" w:type="pct"/>
            <w:vMerge w:val="restart"/>
            <w:shd w:val="clear" w:color="auto" w:fill="auto"/>
            <w:vAlign w:val="center"/>
          </w:tcPr>
          <w:p w14:paraId="0F210A1C" w14:textId="77777777" w:rsidR="00FC0EDC" w:rsidRPr="00FC0EDC" w:rsidRDefault="00FC0EDC" w:rsidP="00FC0EDC">
            <w:pPr>
              <w:ind w:firstLine="37"/>
              <w:rPr>
                <w:rFonts w:eastAsia="Calibri"/>
                <w:sz w:val="18"/>
                <w:szCs w:val="18"/>
                <w:lang w:eastAsia="en-US"/>
              </w:rPr>
            </w:pPr>
            <w:r w:rsidRPr="00FC0EDC">
              <w:rPr>
                <w:rFonts w:eastAsia="Calibri"/>
                <w:sz w:val="18"/>
                <w:szCs w:val="18"/>
                <w:lang w:eastAsia="en-US"/>
              </w:rPr>
              <w:t>Экология</w:t>
            </w:r>
          </w:p>
        </w:tc>
        <w:tc>
          <w:tcPr>
            <w:tcW w:w="3529" w:type="pct"/>
            <w:shd w:val="clear" w:color="auto" w:fill="auto"/>
            <w:vAlign w:val="center"/>
          </w:tcPr>
          <w:p w14:paraId="018D7FEF" w14:textId="77777777" w:rsidR="00FC0EDC" w:rsidRPr="00FC0EDC" w:rsidRDefault="00FC0EDC" w:rsidP="00FC0EDC">
            <w:pPr>
              <w:ind w:firstLine="3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C0EDC">
              <w:rPr>
                <w:rFonts w:eastAsia="Calibri"/>
                <w:sz w:val="18"/>
                <w:szCs w:val="18"/>
                <w:lang w:eastAsia="en-US"/>
              </w:rPr>
              <w:t>«Чистая страна»</w:t>
            </w:r>
          </w:p>
        </w:tc>
        <w:tc>
          <w:tcPr>
            <w:tcW w:w="661" w:type="pct"/>
          </w:tcPr>
          <w:p w14:paraId="2C71AA4C" w14:textId="77777777" w:rsidR="00FC0EDC" w:rsidRPr="00FC0EDC" w:rsidRDefault="00FC0EDC" w:rsidP="00FC0EDC">
            <w:pPr>
              <w:ind w:firstLine="37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FC0EDC">
              <w:rPr>
                <w:rFonts w:eastAsia="Calibri"/>
                <w:sz w:val="18"/>
                <w:szCs w:val="18"/>
                <w:lang w:eastAsia="en-US"/>
              </w:rPr>
              <w:t>250 035,9</w:t>
            </w:r>
          </w:p>
        </w:tc>
      </w:tr>
      <w:tr w:rsidR="00FC0EDC" w:rsidRPr="00FC0EDC" w14:paraId="4702EEAC" w14:textId="77777777" w:rsidTr="00F93B7A">
        <w:trPr>
          <w:trHeight w:val="70"/>
        </w:trPr>
        <w:tc>
          <w:tcPr>
            <w:tcW w:w="810" w:type="pct"/>
            <w:vMerge/>
            <w:shd w:val="clear" w:color="auto" w:fill="auto"/>
            <w:vAlign w:val="center"/>
          </w:tcPr>
          <w:p w14:paraId="32085876" w14:textId="77777777" w:rsidR="00FC0EDC" w:rsidRPr="00FC0EDC" w:rsidRDefault="00FC0EDC" w:rsidP="00FC0EDC">
            <w:pPr>
              <w:ind w:firstLine="37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29" w:type="pct"/>
            <w:shd w:val="clear" w:color="auto" w:fill="auto"/>
            <w:vAlign w:val="center"/>
          </w:tcPr>
          <w:p w14:paraId="05366C5E" w14:textId="77777777" w:rsidR="00FC0EDC" w:rsidRPr="00FC0EDC" w:rsidRDefault="00FC0EDC" w:rsidP="00FC0EDC">
            <w:pPr>
              <w:ind w:firstLine="3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bookmarkStart w:id="1" w:name="_Hlk173227478"/>
            <w:r w:rsidRPr="00FC0EDC">
              <w:rPr>
                <w:rFonts w:eastAsia="Calibri"/>
                <w:sz w:val="18"/>
                <w:szCs w:val="18"/>
                <w:lang w:eastAsia="en-US"/>
              </w:rPr>
              <w:t>«Комплексная система обращения с твердыми коммунальными отходами»</w:t>
            </w:r>
            <w:bookmarkEnd w:id="1"/>
          </w:p>
        </w:tc>
        <w:tc>
          <w:tcPr>
            <w:tcW w:w="661" w:type="pct"/>
          </w:tcPr>
          <w:p w14:paraId="13E8048A" w14:textId="77777777" w:rsidR="00FC0EDC" w:rsidRPr="00FC0EDC" w:rsidRDefault="00FC0EDC" w:rsidP="00FC0EDC">
            <w:pPr>
              <w:ind w:firstLine="37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FC0EDC">
              <w:rPr>
                <w:rFonts w:eastAsia="Calibri"/>
                <w:sz w:val="18"/>
                <w:szCs w:val="18"/>
                <w:lang w:eastAsia="en-US"/>
              </w:rPr>
              <w:t>6 929,7</w:t>
            </w:r>
          </w:p>
        </w:tc>
      </w:tr>
      <w:tr w:rsidR="00FC0EDC" w:rsidRPr="00FC0EDC" w14:paraId="3F6314EF" w14:textId="77777777" w:rsidTr="00F93B7A">
        <w:trPr>
          <w:trHeight w:val="118"/>
        </w:trPr>
        <w:tc>
          <w:tcPr>
            <w:tcW w:w="810" w:type="pct"/>
            <w:vMerge w:val="restart"/>
            <w:shd w:val="clear" w:color="auto" w:fill="auto"/>
            <w:vAlign w:val="center"/>
          </w:tcPr>
          <w:p w14:paraId="568B1815" w14:textId="77777777" w:rsidR="00FC0EDC" w:rsidRPr="00FC0EDC" w:rsidRDefault="00FC0EDC" w:rsidP="00FC0EDC">
            <w:pPr>
              <w:ind w:firstLine="37"/>
              <w:rPr>
                <w:rFonts w:eastAsia="Calibri"/>
                <w:sz w:val="18"/>
                <w:szCs w:val="18"/>
              </w:rPr>
            </w:pPr>
            <w:r w:rsidRPr="00FC0EDC">
              <w:rPr>
                <w:rFonts w:eastAsia="Calibri"/>
                <w:sz w:val="18"/>
                <w:szCs w:val="18"/>
              </w:rPr>
              <w:t>Образование</w:t>
            </w:r>
          </w:p>
        </w:tc>
        <w:tc>
          <w:tcPr>
            <w:tcW w:w="3529" w:type="pct"/>
            <w:shd w:val="clear" w:color="auto" w:fill="auto"/>
          </w:tcPr>
          <w:p w14:paraId="3127CCD3" w14:textId="77777777" w:rsidR="00FC0EDC" w:rsidRPr="00FC0EDC" w:rsidRDefault="00FC0EDC" w:rsidP="00FC0EDC">
            <w:pPr>
              <w:ind w:firstLine="3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C0EDC">
              <w:rPr>
                <w:rFonts w:eastAsia="Calibri"/>
                <w:sz w:val="18"/>
                <w:szCs w:val="18"/>
                <w:lang w:eastAsia="en-US"/>
              </w:rPr>
              <w:t>«Патриотическое воспитание граждан РФ»</w:t>
            </w:r>
          </w:p>
        </w:tc>
        <w:tc>
          <w:tcPr>
            <w:tcW w:w="661" w:type="pct"/>
          </w:tcPr>
          <w:p w14:paraId="5EE98368" w14:textId="77777777" w:rsidR="00FC0EDC" w:rsidRPr="00FC0EDC" w:rsidRDefault="00FC0EDC" w:rsidP="00FC0EDC">
            <w:pPr>
              <w:ind w:firstLine="37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FC0EDC">
              <w:rPr>
                <w:rFonts w:eastAsia="Calibri"/>
                <w:sz w:val="18"/>
                <w:szCs w:val="18"/>
                <w:lang w:eastAsia="en-US"/>
              </w:rPr>
              <w:t>7 094,6</w:t>
            </w:r>
          </w:p>
        </w:tc>
      </w:tr>
      <w:tr w:rsidR="00FC0EDC" w:rsidRPr="00FC0EDC" w14:paraId="35375EFC" w14:textId="77777777" w:rsidTr="00F93B7A">
        <w:trPr>
          <w:trHeight w:val="70"/>
        </w:trPr>
        <w:tc>
          <w:tcPr>
            <w:tcW w:w="810" w:type="pct"/>
            <w:vMerge/>
            <w:shd w:val="clear" w:color="auto" w:fill="auto"/>
            <w:vAlign w:val="center"/>
          </w:tcPr>
          <w:p w14:paraId="5726DABB" w14:textId="77777777" w:rsidR="00FC0EDC" w:rsidRPr="00FC0EDC" w:rsidRDefault="00FC0EDC" w:rsidP="00FC0EDC">
            <w:pPr>
              <w:ind w:firstLine="37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29" w:type="pct"/>
            <w:shd w:val="clear" w:color="auto" w:fill="auto"/>
          </w:tcPr>
          <w:p w14:paraId="08A223D6" w14:textId="77777777" w:rsidR="00FC0EDC" w:rsidRPr="00FC0EDC" w:rsidRDefault="00FC0EDC" w:rsidP="00FC0EDC">
            <w:pPr>
              <w:ind w:firstLine="3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C0EDC">
              <w:rPr>
                <w:rFonts w:eastAsia="Calibri"/>
                <w:sz w:val="18"/>
                <w:szCs w:val="18"/>
                <w:lang w:eastAsia="en-US"/>
              </w:rPr>
              <w:t>«Современная школа»</w:t>
            </w:r>
          </w:p>
        </w:tc>
        <w:tc>
          <w:tcPr>
            <w:tcW w:w="661" w:type="pct"/>
          </w:tcPr>
          <w:p w14:paraId="4F456B6F" w14:textId="77777777" w:rsidR="00FC0EDC" w:rsidRPr="00FC0EDC" w:rsidRDefault="00FC0EDC" w:rsidP="00FC0EDC">
            <w:pPr>
              <w:ind w:firstLine="37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FC0EDC">
              <w:rPr>
                <w:rFonts w:eastAsia="Calibri"/>
                <w:sz w:val="18"/>
                <w:szCs w:val="18"/>
                <w:lang w:eastAsia="en-US"/>
              </w:rPr>
              <w:t>7 641,5</w:t>
            </w:r>
          </w:p>
        </w:tc>
      </w:tr>
      <w:tr w:rsidR="00FC0EDC" w:rsidRPr="00FC0EDC" w14:paraId="147E89CF" w14:textId="77777777" w:rsidTr="00F93B7A">
        <w:trPr>
          <w:trHeight w:val="139"/>
        </w:trPr>
        <w:tc>
          <w:tcPr>
            <w:tcW w:w="810" w:type="pct"/>
            <w:vMerge/>
            <w:shd w:val="clear" w:color="auto" w:fill="auto"/>
            <w:vAlign w:val="center"/>
          </w:tcPr>
          <w:p w14:paraId="2843C556" w14:textId="77777777" w:rsidR="00FC0EDC" w:rsidRPr="00FC0EDC" w:rsidRDefault="00FC0EDC" w:rsidP="00FC0EDC">
            <w:pPr>
              <w:ind w:firstLine="37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29" w:type="pct"/>
            <w:shd w:val="clear" w:color="auto" w:fill="auto"/>
          </w:tcPr>
          <w:p w14:paraId="4AF63B46" w14:textId="77777777" w:rsidR="00FC0EDC" w:rsidRPr="00FC0EDC" w:rsidRDefault="00FC0EDC" w:rsidP="00FC0EDC">
            <w:pPr>
              <w:ind w:firstLine="3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C0EDC">
              <w:rPr>
                <w:rFonts w:eastAsia="Calibri"/>
                <w:sz w:val="18"/>
                <w:szCs w:val="18"/>
                <w:lang w:eastAsia="en-US"/>
              </w:rPr>
              <w:t>«Социальная активность»</w:t>
            </w:r>
          </w:p>
        </w:tc>
        <w:tc>
          <w:tcPr>
            <w:tcW w:w="661" w:type="pct"/>
          </w:tcPr>
          <w:p w14:paraId="634CCDC2" w14:textId="77777777" w:rsidR="00FC0EDC" w:rsidRPr="00FC0EDC" w:rsidRDefault="00FC0EDC" w:rsidP="00FC0EDC">
            <w:pPr>
              <w:ind w:firstLine="37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FC0EDC">
              <w:rPr>
                <w:rFonts w:eastAsia="Calibri"/>
                <w:sz w:val="18"/>
                <w:szCs w:val="18"/>
                <w:lang w:eastAsia="en-US"/>
              </w:rPr>
              <w:t>395,0</w:t>
            </w:r>
          </w:p>
        </w:tc>
      </w:tr>
      <w:tr w:rsidR="00FC0EDC" w:rsidRPr="00FC0EDC" w14:paraId="3CE25187" w14:textId="77777777" w:rsidTr="00F93B7A">
        <w:trPr>
          <w:trHeight w:val="60"/>
        </w:trPr>
        <w:tc>
          <w:tcPr>
            <w:tcW w:w="810" w:type="pct"/>
            <w:shd w:val="clear" w:color="auto" w:fill="auto"/>
            <w:vAlign w:val="center"/>
          </w:tcPr>
          <w:p w14:paraId="5579871D" w14:textId="77777777" w:rsidR="00FC0EDC" w:rsidRPr="00FC0EDC" w:rsidRDefault="00FC0EDC" w:rsidP="00FC0EDC">
            <w:pPr>
              <w:ind w:firstLine="37"/>
              <w:rPr>
                <w:rFonts w:eastAsia="Calibri"/>
                <w:sz w:val="18"/>
                <w:szCs w:val="18"/>
                <w:lang w:eastAsia="en-US"/>
              </w:rPr>
            </w:pPr>
            <w:r w:rsidRPr="00FC0EDC">
              <w:rPr>
                <w:rFonts w:eastAsia="Calibri"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3529" w:type="pct"/>
            <w:shd w:val="clear" w:color="auto" w:fill="auto"/>
          </w:tcPr>
          <w:p w14:paraId="3241573A" w14:textId="77777777" w:rsidR="00FC0EDC" w:rsidRPr="00FC0EDC" w:rsidRDefault="00FC0EDC" w:rsidP="00FC0EDC">
            <w:pPr>
              <w:ind w:firstLine="3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C0EDC">
              <w:rPr>
                <w:rFonts w:eastAsia="Calibri"/>
                <w:sz w:val="18"/>
                <w:szCs w:val="18"/>
                <w:lang w:eastAsia="en-US"/>
              </w:rPr>
              <w:t>«Культурная среда»</w:t>
            </w:r>
          </w:p>
        </w:tc>
        <w:tc>
          <w:tcPr>
            <w:tcW w:w="661" w:type="pct"/>
          </w:tcPr>
          <w:p w14:paraId="0FBC10EF" w14:textId="77777777" w:rsidR="00FC0EDC" w:rsidRPr="00FC0EDC" w:rsidRDefault="00FC0EDC" w:rsidP="00FC0EDC">
            <w:pPr>
              <w:ind w:firstLine="37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FC0EDC">
              <w:rPr>
                <w:rFonts w:eastAsia="Calibri"/>
                <w:sz w:val="18"/>
                <w:szCs w:val="18"/>
                <w:lang w:eastAsia="en-US"/>
              </w:rPr>
              <w:t>6 100,8</w:t>
            </w:r>
          </w:p>
        </w:tc>
      </w:tr>
      <w:tr w:rsidR="00FC0EDC" w:rsidRPr="00FC0EDC" w14:paraId="57E6FBE8" w14:textId="77777777" w:rsidTr="00F93B7A">
        <w:trPr>
          <w:trHeight w:val="225"/>
        </w:trPr>
        <w:tc>
          <w:tcPr>
            <w:tcW w:w="810" w:type="pct"/>
            <w:vMerge w:val="restart"/>
            <w:shd w:val="clear" w:color="auto" w:fill="auto"/>
            <w:vAlign w:val="center"/>
          </w:tcPr>
          <w:p w14:paraId="515E846E" w14:textId="77777777" w:rsidR="00FC0EDC" w:rsidRPr="00FC0EDC" w:rsidRDefault="00FC0EDC" w:rsidP="00FC0ED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C0EDC">
              <w:rPr>
                <w:rFonts w:eastAsia="Calibri"/>
                <w:sz w:val="18"/>
                <w:szCs w:val="18"/>
              </w:rPr>
              <w:t>Демография</w:t>
            </w:r>
          </w:p>
        </w:tc>
        <w:tc>
          <w:tcPr>
            <w:tcW w:w="3529" w:type="pct"/>
            <w:shd w:val="clear" w:color="auto" w:fill="auto"/>
          </w:tcPr>
          <w:p w14:paraId="320B4861" w14:textId="77777777" w:rsidR="00FC0EDC" w:rsidRPr="00FC0EDC" w:rsidRDefault="00FC0EDC" w:rsidP="00FC0ED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bookmarkStart w:id="2" w:name="_Hlk173226717"/>
            <w:r w:rsidRPr="00FC0EDC">
              <w:rPr>
                <w:rFonts w:eastAsia="Calibri"/>
                <w:sz w:val="18"/>
                <w:szCs w:val="18"/>
                <w:lang w:eastAsia="en-US"/>
              </w:rPr>
              <w:t>«Разработка и реализация программы системной поддержки и повышения качества жизни граждан старшего поколения»</w:t>
            </w:r>
            <w:bookmarkEnd w:id="2"/>
          </w:p>
        </w:tc>
        <w:tc>
          <w:tcPr>
            <w:tcW w:w="661" w:type="pct"/>
          </w:tcPr>
          <w:p w14:paraId="75E47199" w14:textId="77777777" w:rsidR="00FC0EDC" w:rsidRPr="00FC0EDC" w:rsidRDefault="00FC0EDC" w:rsidP="00FC0EDC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FC0EDC">
              <w:rPr>
                <w:rFonts w:eastAsia="Calibri"/>
                <w:sz w:val="18"/>
                <w:szCs w:val="18"/>
                <w:lang w:eastAsia="en-US"/>
              </w:rPr>
              <w:t>12 091,2</w:t>
            </w:r>
          </w:p>
        </w:tc>
      </w:tr>
      <w:tr w:rsidR="00FC0EDC" w:rsidRPr="00FC0EDC" w14:paraId="52732ABC" w14:textId="77777777" w:rsidTr="00F93B7A">
        <w:trPr>
          <w:trHeight w:val="225"/>
        </w:trPr>
        <w:tc>
          <w:tcPr>
            <w:tcW w:w="810" w:type="pct"/>
            <w:vMerge/>
            <w:shd w:val="clear" w:color="auto" w:fill="auto"/>
            <w:vAlign w:val="center"/>
          </w:tcPr>
          <w:p w14:paraId="535AE0E7" w14:textId="77777777" w:rsidR="00FC0EDC" w:rsidRPr="00FC0EDC" w:rsidRDefault="00FC0EDC" w:rsidP="00FC0ED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529" w:type="pct"/>
            <w:shd w:val="clear" w:color="auto" w:fill="auto"/>
          </w:tcPr>
          <w:p w14:paraId="6072CDCA" w14:textId="77777777" w:rsidR="00FC0EDC" w:rsidRPr="00FC0EDC" w:rsidRDefault="00FC0EDC" w:rsidP="00FC0ED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C0EDC">
              <w:rPr>
                <w:rFonts w:eastAsia="Calibri"/>
                <w:sz w:val="18"/>
                <w:szCs w:val="18"/>
                <w:lang w:eastAsia="en-US"/>
              </w:rPr>
              <w:t>«Финансовая поддержка семей при рождении детей»</w:t>
            </w:r>
          </w:p>
        </w:tc>
        <w:tc>
          <w:tcPr>
            <w:tcW w:w="661" w:type="pct"/>
          </w:tcPr>
          <w:p w14:paraId="2F4DB05A" w14:textId="77777777" w:rsidR="00FC0EDC" w:rsidRPr="00FC0EDC" w:rsidRDefault="00FC0EDC" w:rsidP="00FC0EDC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FC0EDC">
              <w:rPr>
                <w:rFonts w:eastAsia="Calibri"/>
                <w:sz w:val="18"/>
                <w:szCs w:val="18"/>
                <w:lang w:eastAsia="en-US"/>
              </w:rPr>
              <w:t>4 612,1</w:t>
            </w:r>
          </w:p>
        </w:tc>
      </w:tr>
      <w:tr w:rsidR="00FC0EDC" w:rsidRPr="00FC0EDC" w14:paraId="2459E5A6" w14:textId="77777777" w:rsidTr="00F93B7A">
        <w:trPr>
          <w:trHeight w:val="693"/>
        </w:trPr>
        <w:tc>
          <w:tcPr>
            <w:tcW w:w="810" w:type="pct"/>
            <w:vMerge/>
            <w:shd w:val="clear" w:color="auto" w:fill="auto"/>
            <w:vAlign w:val="center"/>
          </w:tcPr>
          <w:p w14:paraId="273B576C" w14:textId="77777777" w:rsidR="00FC0EDC" w:rsidRPr="00FC0EDC" w:rsidRDefault="00FC0EDC" w:rsidP="00FC0ED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529" w:type="pct"/>
            <w:shd w:val="clear" w:color="auto" w:fill="auto"/>
            <w:vAlign w:val="center"/>
          </w:tcPr>
          <w:p w14:paraId="2A959E01" w14:textId="77777777" w:rsidR="00FC0EDC" w:rsidRPr="00FC0EDC" w:rsidRDefault="00FC0EDC" w:rsidP="00FC0ED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bookmarkStart w:id="3" w:name="_Hlk173227679"/>
            <w:r w:rsidRPr="00FC0EDC">
              <w:rPr>
                <w:rFonts w:eastAsia="Calibri"/>
                <w:sz w:val="18"/>
                <w:szCs w:val="18"/>
                <w:lang w:eastAsia="en-US"/>
              </w:rPr>
              <w:t>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</w:t>
            </w:r>
            <w:bookmarkEnd w:id="3"/>
          </w:p>
        </w:tc>
        <w:tc>
          <w:tcPr>
            <w:tcW w:w="661" w:type="pct"/>
          </w:tcPr>
          <w:p w14:paraId="48DB690D" w14:textId="77777777" w:rsidR="00FC0EDC" w:rsidRPr="00FC0EDC" w:rsidRDefault="00FC0EDC" w:rsidP="00FC0EDC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FC0EDC">
              <w:rPr>
                <w:rFonts w:eastAsia="Calibri"/>
                <w:sz w:val="18"/>
                <w:szCs w:val="18"/>
                <w:lang w:eastAsia="en-US"/>
              </w:rPr>
              <w:t>2 976,3</w:t>
            </w:r>
          </w:p>
        </w:tc>
      </w:tr>
      <w:tr w:rsidR="00FC0EDC" w:rsidRPr="00FC0EDC" w14:paraId="5A0DB197" w14:textId="77777777" w:rsidTr="00F93B7A">
        <w:trPr>
          <w:trHeight w:val="446"/>
        </w:trPr>
        <w:tc>
          <w:tcPr>
            <w:tcW w:w="810" w:type="pct"/>
            <w:shd w:val="clear" w:color="auto" w:fill="auto"/>
            <w:vAlign w:val="center"/>
          </w:tcPr>
          <w:p w14:paraId="27CBE78D" w14:textId="77777777" w:rsidR="00FC0EDC" w:rsidRPr="00FC0EDC" w:rsidRDefault="00FC0EDC" w:rsidP="00FC0ED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C0EDC">
              <w:rPr>
                <w:rFonts w:eastAsia="Calibri"/>
                <w:sz w:val="18"/>
                <w:szCs w:val="18"/>
              </w:rPr>
              <w:t>Жилье и городская среда</w:t>
            </w:r>
          </w:p>
        </w:tc>
        <w:tc>
          <w:tcPr>
            <w:tcW w:w="3529" w:type="pct"/>
            <w:shd w:val="clear" w:color="auto" w:fill="auto"/>
          </w:tcPr>
          <w:p w14:paraId="547EC252" w14:textId="77777777" w:rsidR="00FC0EDC" w:rsidRPr="00FC0EDC" w:rsidRDefault="00FC0EDC" w:rsidP="00FC0ED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bookmarkStart w:id="4" w:name="_Hlk173227264"/>
            <w:r w:rsidRPr="00FC0EDC">
              <w:rPr>
                <w:rFonts w:eastAsia="Calibri"/>
                <w:sz w:val="18"/>
                <w:szCs w:val="18"/>
                <w:lang w:eastAsia="en-US"/>
              </w:rPr>
              <w:t>«Формирование комфортной городской среды»</w:t>
            </w:r>
            <w:bookmarkEnd w:id="4"/>
          </w:p>
        </w:tc>
        <w:tc>
          <w:tcPr>
            <w:tcW w:w="661" w:type="pct"/>
          </w:tcPr>
          <w:p w14:paraId="1DF1A32D" w14:textId="77777777" w:rsidR="00FC0EDC" w:rsidRPr="00FC0EDC" w:rsidRDefault="00FC0EDC" w:rsidP="00FC0EDC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FC0EDC">
              <w:rPr>
                <w:rFonts w:eastAsia="Calibri"/>
                <w:sz w:val="18"/>
                <w:szCs w:val="18"/>
                <w:lang w:eastAsia="en-US"/>
              </w:rPr>
              <w:t>71 779,6</w:t>
            </w:r>
          </w:p>
        </w:tc>
      </w:tr>
      <w:tr w:rsidR="00FC0EDC" w:rsidRPr="00FC0EDC" w14:paraId="50200772" w14:textId="77777777" w:rsidTr="00F93B7A">
        <w:trPr>
          <w:trHeight w:val="113"/>
        </w:trPr>
        <w:tc>
          <w:tcPr>
            <w:tcW w:w="4339" w:type="pct"/>
            <w:gridSpan w:val="2"/>
            <w:shd w:val="clear" w:color="auto" w:fill="auto"/>
            <w:vAlign w:val="center"/>
          </w:tcPr>
          <w:p w14:paraId="5A62C931" w14:textId="77777777" w:rsidR="00FC0EDC" w:rsidRPr="00FC0EDC" w:rsidRDefault="00FC0EDC" w:rsidP="00FC0EDC">
            <w:pPr>
              <w:jc w:val="both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FC0EDC">
              <w:rPr>
                <w:rFonts w:eastAsia="Calibri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661" w:type="pct"/>
          </w:tcPr>
          <w:p w14:paraId="1ACD46C1" w14:textId="77777777" w:rsidR="00FC0EDC" w:rsidRPr="00FC0EDC" w:rsidRDefault="00FC0EDC" w:rsidP="00FC0EDC">
            <w:pPr>
              <w:jc w:val="right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FC0ED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369 656,7</w:t>
            </w:r>
          </w:p>
        </w:tc>
      </w:tr>
    </w:tbl>
    <w:p w14:paraId="36626E96" w14:textId="77777777" w:rsidR="00D208AA" w:rsidRPr="00D208AA" w:rsidRDefault="00D208AA" w:rsidP="00FC0EDC">
      <w:pPr>
        <w:suppressAutoHyphens/>
        <w:jc w:val="both"/>
        <w:rPr>
          <w:bCs/>
          <w:sz w:val="16"/>
          <w:szCs w:val="16"/>
        </w:rPr>
      </w:pPr>
    </w:p>
    <w:p w14:paraId="28B71B93" w14:textId="292DD165" w:rsidR="00737B34" w:rsidRPr="00737B34" w:rsidRDefault="00737B34" w:rsidP="00737B3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737B34">
        <w:rPr>
          <w:bCs/>
          <w:sz w:val="28"/>
          <w:szCs w:val="28"/>
        </w:rPr>
        <w:t>сточник</w:t>
      </w:r>
      <w:r>
        <w:rPr>
          <w:bCs/>
          <w:sz w:val="28"/>
          <w:szCs w:val="28"/>
        </w:rPr>
        <w:t>и</w:t>
      </w:r>
      <w:r w:rsidRPr="00737B34">
        <w:rPr>
          <w:bCs/>
          <w:sz w:val="28"/>
          <w:szCs w:val="28"/>
        </w:rPr>
        <w:t xml:space="preserve"> финансирования</w:t>
      </w:r>
      <w:r>
        <w:rPr>
          <w:bCs/>
          <w:sz w:val="28"/>
          <w:szCs w:val="28"/>
        </w:rPr>
        <w:t xml:space="preserve"> бюджетных расходов</w:t>
      </w:r>
      <w:r w:rsidRPr="00737B34">
        <w:rPr>
          <w:bCs/>
          <w:sz w:val="28"/>
          <w:szCs w:val="28"/>
        </w:rPr>
        <w:t>:</w:t>
      </w:r>
    </w:p>
    <w:p w14:paraId="13A9A1EF" w14:textId="77777777" w:rsidR="00737B34" w:rsidRPr="00737B34" w:rsidRDefault="00737B34" w:rsidP="00737B34">
      <w:pPr>
        <w:ind w:firstLine="567"/>
        <w:jc w:val="both"/>
        <w:rPr>
          <w:bCs/>
          <w:sz w:val="28"/>
          <w:szCs w:val="28"/>
        </w:rPr>
      </w:pPr>
      <w:r w:rsidRPr="00737B34">
        <w:rPr>
          <w:bCs/>
          <w:sz w:val="28"/>
          <w:szCs w:val="28"/>
        </w:rPr>
        <w:t>- средства федерального бюджета – 270 017,6 тыс. рублей или 73,1%;</w:t>
      </w:r>
    </w:p>
    <w:p w14:paraId="6DB604E5" w14:textId="77777777" w:rsidR="00737B34" w:rsidRPr="00737B34" w:rsidRDefault="00737B34" w:rsidP="00737B34">
      <w:pPr>
        <w:ind w:firstLine="567"/>
        <w:jc w:val="both"/>
        <w:rPr>
          <w:bCs/>
          <w:sz w:val="28"/>
          <w:szCs w:val="28"/>
        </w:rPr>
      </w:pPr>
      <w:r w:rsidRPr="00737B34">
        <w:rPr>
          <w:bCs/>
          <w:sz w:val="28"/>
          <w:szCs w:val="28"/>
        </w:rPr>
        <w:t>- средства областного бюджета – 65 188,6 тыс. рублей или 17,6%;</w:t>
      </w:r>
    </w:p>
    <w:p w14:paraId="7AE6B26F" w14:textId="77777777" w:rsidR="00737B34" w:rsidRPr="00737B34" w:rsidRDefault="00737B34" w:rsidP="00737B34">
      <w:pPr>
        <w:ind w:firstLine="567"/>
        <w:jc w:val="both"/>
        <w:rPr>
          <w:bCs/>
          <w:sz w:val="28"/>
          <w:szCs w:val="28"/>
        </w:rPr>
      </w:pPr>
      <w:r w:rsidRPr="00737B34">
        <w:rPr>
          <w:bCs/>
          <w:sz w:val="28"/>
          <w:szCs w:val="28"/>
        </w:rPr>
        <w:t>- средства местного бюджета – 34 450,5 тыс. рублей или 9,3%.</w:t>
      </w:r>
    </w:p>
    <w:p w14:paraId="24C46CC0" w14:textId="77777777" w:rsidR="00737B34" w:rsidRDefault="00737B34" w:rsidP="00737B34">
      <w:pPr>
        <w:ind w:firstLine="567"/>
        <w:jc w:val="both"/>
        <w:rPr>
          <w:bCs/>
          <w:sz w:val="28"/>
          <w:szCs w:val="28"/>
        </w:rPr>
      </w:pPr>
    </w:p>
    <w:p w14:paraId="0607E830" w14:textId="77777777" w:rsidR="00737B34" w:rsidRDefault="00737B34" w:rsidP="00042AF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В структуре региональных проектов</w:t>
      </w:r>
      <w:r>
        <w:rPr>
          <w:noProof/>
          <w:sz w:val="28"/>
          <w:szCs w:val="28"/>
        </w:rPr>
        <w:t xml:space="preserve"> наибольшая </w:t>
      </w:r>
      <w:r w:rsidRPr="006D55DE">
        <w:rPr>
          <w:sz w:val="28"/>
          <w:szCs w:val="28"/>
        </w:rPr>
        <w:t>дол</w:t>
      </w:r>
      <w:r>
        <w:rPr>
          <w:sz w:val="28"/>
          <w:szCs w:val="28"/>
        </w:rPr>
        <w:t xml:space="preserve">я </w:t>
      </w:r>
      <w:r w:rsidRPr="006D55DE">
        <w:rPr>
          <w:sz w:val="28"/>
          <w:szCs w:val="28"/>
        </w:rPr>
        <w:t xml:space="preserve">бюджетных расходов </w:t>
      </w:r>
      <w:r>
        <w:rPr>
          <w:sz w:val="28"/>
          <w:szCs w:val="28"/>
        </w:rPr>
        <w:t>запланирована</w:t>
      </w:r>
      <w:r w:rsidRPr="006D55DE">
        <w:rPr>
          <w:sz w:val="28"/>
          <w:szCs w:val="28"/>
        </w:rPr>
        <w:t xml:space="preserve"> на реализацию</w:t>
      </w:r>
      <w:r>
        <w:rPr>
          <w:sz w:val="28"/>
          <w:szCs w:val="28"/>
        </w:rPr>
        <w:t xml:space="preserve"> регионального проекта </w:t>
      </w:r>
      <w:r w:rsidRPr="00A361F5">
        <w:rPr>
          <w:sz w:val="28"/>
          <w:szCs w:val="28"/>
        </w:rPr>
        <w:t xml:space="preserve">«Чистая страна» </w:t>
      </w:r>
      <w:r>
        <w:rPr>
          <w:sz w:val="28"/>
          <w:szCs w:val="28"/>
        </w:rPr>
        <w:t xml:space="preserve">- 67,6% и регионального проекта </w:t>
      </w:r>
      <w:r w:rsidRPr="00A361F5">
        <w:rPr>
          <w:sz w:val="28"/>
          <w:szCs w:val="28"/>
        </w:rPr>
        <w:t>«Формирование комфортной городской среды»</w:t>
      </w:r>
      <w:r>
        <w:rPr>
          <w:sz w:val="28"/>
          <w:szCs w:val="28"/>
        </w:rPr>
        <w:t xml:space="preserve"> - 19,4%.</w:t>
      </w:r>
    </w:p>
    <w:p w14:paraId="75387C02" w14:textId="77777777" w:rsidR="00737B34" w:rsidRDefault="00737B34" w:rsidP="00042AF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Бюджетные ассигнования распределены между шестью главными распорядителями бюджетных средств, наибольшая доля которых запланирована Администрации ЗГО (67,6%), Управлению ЖКХ (21,3%).</w:t>
      </w:r>
    </w:p>
    <w:p w14:paraId="71329295" w14:textId="27E39350" w:rsidR="00737B34" w:rsidRPr="00737B34" w:rsidRDefault="00737B34" w:rsidP="00042AF1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F4FC2">
        <w:rPr>
          <w:sz w:val="28"/>
          <w:szCs w:val="28"/>
        </w:rPr>
        <w:t xml:space="preserve">В рамках реализации региональных проектов за 1 </w:t>
      </w:r>
      <w:r>
        <w:rPr>
          <w:sz w:val="28"/>
          <w:szCs w:val="28"/>
        </w:rPr>
        <w:t>полугодие</w:t>
      </w:r>
      <w:r w:rsidRPr="006F4FC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6F4FC2">
        <w:rPr>
          <w:sz w:val="28"/>
          <w:szCs w:val="28"/>
        </w:rPr>
        <w:t xml:space="preserve"> г.  кассовое исполнение расходов составило </w:t>
      </w:r>
      <w:r>
        <w:rPr>
          <w:sz w:val="28"/>
          <w:szCs w:val="28"/>
        </w:rPr>
        <w:t>20 414,7</w:t>
      </w:r>
      <w:r w:rsidRPr="006F4FC2">
        <w:rPr>
          <w:sz w:val="28"/>
          <w:szCs w:val="28"/>
        </w:rPr>
        <w:t xml:space="preserve"> тыс. рублей (или </w:t>
      </w:r>
      <w:r>
        <w:rPr>
          <w:sz w:val="28"/>
          <w:szCs w:val="28"/>
        </w:rPr>
        <w:t>5,5</w:t>
      </w:r>
      <w:r w:rsidRPr="006F4FC2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                      </w:t>
      </w:r>
      <w:r w:rsidRPr="006F4FC2">
        <w:rPr>
          <w:sz w:val="28"/>
          <w:szCs w:val="28"/>
        </w:rPr>
        <w:t>от годового планового объема)</w:t>
      </w:r>
      <w:r>
        <w:rPr>
          <w:sz w:val="28"/>
          <w:szCs w:val="28"/>
        </w:rPr>
        <w:t>.</w:t>
      </w:r>
    </w:p>
    <w:p w14:paraId="3C2E43BB" w14:textId="7279ADDA" w:rsidR="00737B34" w:rsidRPr="00B957FB" w:rsidRDefault="00737B34" w:rsidP="00042A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двум региональным проектам кассовые расходы </w:t>
      </w:r>
      <w:r w:rsidRPr="00B957FB">
        <w:rPr>
          <w:sz w:val="28"/>
          <w:szCs w:val="28"/>
        </w:rPr>
        <w:t xml:space="preserve">не осуществлялись в связи с тем, что сроки исполнения муниципальных контрактов, заключенных в целях реализации мероприятий региональных проектов «Формирование комфортной городской среды» и «Чистая страна» запланированы на Ⅲ - </w:t>
      </w:r>
      <w:r>
        <w:rPr>
          <w:sz w:val="28"/>
          <w:szCs w:val="28"/>
        </w:rPr>
        <w:t xml:space="preserve">                     </w:t>
      </w:r>
      <w:r w:rsidRPr="00B957FB">
        <w:rPr>
          <w:sz w:val="28"/>
          <w:szCs w:val="28"/>
        </w:rPr>
        <w:t>Ⅳ кварталы 2024 года.</w:t>
      </w:r>
    </w:p>
    <w:p w14:paraId="55E94276" w14:textId="7971B0F0" w:rsidR="00737B34" w:rsidRDefault="00F93B7A" w:rsidP="00042AF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37B34">
        <w:rPr>
          <w:bCs/>
          <w:sz w:val="28"/>
          <w:szCs w:val="28"/>
        </w:rPr>
        <w:t>.</w:t>
      </w:r>
      <w:r w:rsidR="00737B34" w:rsidRPr="00DB5DDA">
        <w:rPr>
          <w:bCs/>
          <w:sz w:val="28"/>
          <w:szCs w:val="28"/>
        </w:rPr>
        <w:t xml:space="preserve"> </w:t>
      </w:r>
      <w:r w:rsidR="00737B34" w:rsidRPr="00B17F07">
        <w:rPr>
          <w:bCs/>
          <w:sz w:val="28"/>
          <w:szCs w:val="28"/>
        </w:rPr>
        <w:t>Уровень контрактации является достаточно высоким и составляет 94,9% от годового плана.</w:t>
      </w:r>
    </w:p>
    <w:p w14:paraId="45B7DC0B" w14:textId="77777777" w:rsidR="00B91299" w:rsidRDefault="00F93B7A" w:rsidP="00042AF1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D934EA">
        <w:rPr>
          <w:bCs/>
          <w:sz w:val="28"/>
          <w:szCs w:val="28"/>
        </w:rPr>
        <w:t xml:space="preserve">. </w:t>
      </w:r>
      <w:r w:rsidR="00D208AA" w:rsidRPr="00B13DBC">
        <w:rPr>
          <w:bCs/>
          <w:sz w:val="28"/>
          <w:szCs w:val="28"/>
        </w:rPr>
        <w:t xml:space="preserve">По состоянию на </w:t>
      </w:r>
      <w:r w:rsidR="00D934EA">
        <w:rPr>
          <w:bCs/>
          <w:sz w:val="28"/>
          <w:szCs w:val="28"/>
        </w:rPr>
        <w:t>0</w:t>
      </w:r>
      <w:r w:rsidR="00D208AA" w:rsidRPr="00B13DBC">
        <w:rPr>
          <w:bCs/>
          <w:sz w:val="28"/>
          <w:szCs w:val="28"/>
        </w:rPr>
        <w:t>1.0</w:t>
      </w:r>
      <w:r w:rsidR="00D934EA">
        <w:rPr>
          <w:bCs/>
          <w:sz w:val="28"/>
          <w:szCs w:val="28"/>
        </w:rPr>
        <w:t>7</w:t>
      </w:r>
      <w:r w:rsidR="00D208AA" w:rsidRPr="00B13DBC">
        <w:rPr>
          <w:bCs/>
          <w:sz w:val="28"/>
          <w:szCs w:val="28"/>
        </w:rPr>
        <w:t>.202</w:t>
      </w:r>
      <w:r w:rsidR="00D208AA">
        <w:rPr>
          <w:bCs/>
          <w:sz w:val="28"/>
          <w:szCs w:val="28"/>
        </w:rPr>
        <w:t>4</w:t>
      </w:r>
      <w:r w:rsidR="00D208AA" w:rsidRPr="00B13DBC">
        <w:rPr>
          <w:bCs/>
          <w:sz w:val="28"/>
          <w:szCs w:val="28"/>
        </w:rPr>
        <w:t xml:space="preserve">г. </w:t>
      </w:r>
      <w:r w:rsidR="00D934EA">
        <w:rPr>
          <w:bCs/>
          <w:sz w:val="28"/>
          <w:szCs w:val="28"/>
        </w:rPr>
        <w:t>имеется отставание от графика выполнения работ в рамках региональных проектов «Чистая страна» и «Формирование комфортной городской среды».</w:t>
      </w:r>
    </w:p>
    <w:p w14:paraId="205B15A4" w14:textId="4D620DCA" w:rsidR="00D208AA" w:rsidRPr="00B91299" w:rsidRDefault="00F93B7A" w:rsidP="00042AF1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934EA">
        <w:rPr>
          <w:color w:val="000000"/>
          <w:sz w:val="28"/>
          <w:szCs w:val="28"/>
        </w:rPr>
        <w:t xml:space="preserve">. </w:t>
      </w:r>
      <w:r w:rsidR="00D208AA" w:rsidRPr="00B13DBC">
        <w:rPr>
          <w:color w:val="000000"/>
          <w:sz w:val="28"/>
          <w:szCs w:val="28"/>
        </w:rPr>
        <w:t xml:space="preserve">Исходя из условий заключенных контрактов основная часть кассовых расходов участников бюджетного процесса ожидается в </w:t>
      </w:r>
      <w:r w:rsidR="00D208AA">
        <w:rPr>
          <w:color w:val="000000"/>
          <w:sz w:val="28"/>
          <w:szCs w:val="28"/>
        </w:rPr>
        <w:t>4</w:t>
      </w:r>
      <w:r w:rsidR="00D208AA" w:rsidRPr="00B13DBC">
        <w:rPr>
          <w:color w:val="000000"/>
          <w:sz w:val="28"/>
          <w:szCs w:val="28"/>
        </w:rPr>
        <w:t xml:space="preserve"> квартале </w:t>
      </w:r>
      <w:r w:rsidR="00D208AA">
        <w:rPr>
          <w:color w:val="000000"/>
          <w:sz w:val="28"/>
          <w:szCs w:val="28"/>
        </w:rPr>
        <w:t xml:space="preserve">2024 г. </w:t>
      </w:r>
      <w:r w:rsidR="00D208AA" w:rsidRPr="00B13DBC">
        <w:rPr>
          <w:color w:val="000000"/>
          <w:sz w:val="28"/>
          <w:szCs w:val="28"/>
        </w:rPr>
        <w:t>(</w:t>
      </w:r>
      <w:r w:rsidR="00D934EA">
        <w:rPr>
          <w:color w:val="000000"/>
          <w:sz w:val="28"/>
          <w:szCs w:val="28"/>
        </w:rPr>
        <w:t>более 67,6</w:t>
      </w:r>
      <w:r w:rsidR="00D208AA" w:rsidRPr="00B13DBC">
        <w:rPr>
          <w:color w:val="000000"/>
          <w:sz w:val="28"/>
          <w:szCs w:val="28"/>
        </w:rPr>
        <w:t>% от годового плана)</w:t>
      </w:r>
      <w:r w:rsidR="00D208AA">
        <w:rPr>
          <w:color w:val="000000"/>
          <w:sz w:val="28"/>
          <w:szCs w:val="28"/>
        </w:rPr>
        <w:t xml:space="preserve">, в основном за счет </w:t>
      </w:r>
      <w:r w:rsidR="00D934EA">
        <w:rPr>
          <w:color w:val="000000"/>
          <w:sz w:val="28"/>
          <w:szCs w:val="28"/>
        </w:rPr>
        <w:t>исполнения</w:t>
      </w:r>
      <w:r w:rsidR="00D208AA">
        <w:rPr>
          <w:color w:val="000000"/>
          <w:sz w:val="28"/>
          <w:szCs w:val="28"/>
        </w:rPr>
        <w:t xml:space="preserve"> расходов регионального проекта «Чистая стана».</w:t>
      </w:r>
    </w:p>
    <w:p w14:paraId="2C013237" w14:textId="77777777" w:rsidR="005C5FB4" w:rsidRDefault="005C5FB4" w:rsidP="00B91299">
      <w:pPr>
        <w:ind w:firstLine="709"/>
        <w:jc w:val="both"/>
        <w:rPr>
          <w:sz w:val="28"/>
          <w:szCs w:val="28"/>
        </w:rPr>
      </w:pPr>
    </w:p>
    <w:p w14:paraId="44F03F0C" w14:textId="77777777" w:rsidR="005C5FB4" w:rsidRDefault="005C5FB4" w:rsidP="005C5FB4">
      <w:pPr>
        <w:pStyle w:val="a3"/>
        <w:tabs>
          <w:tab w:val="left" w:pos="1496"/>
        </w:tabs>
        <w:rPr>
          <w:sz w:val="28"/>
          <w:szCs w:val="28"/>
        </w:rPr>
      </w:pPr>
    </w:p>
    <w:p w14:paraId="4FAF8BBF" w14:textId="77777777" w:rsidR="005C5FB4" w:rsidRDefault="005C5FB4" w:rsidP="005C5FB4">
      <w:pPr>
        <w:pStyle w:val="a3"/>
        <w:tabs>
          <w:tab w:val="left" w:pos="1496"/>
        </w:tabs>
        <w:rPr>
          <w:sz w:val="28"/>
          <w:szCs w:val="28"/>
        </w:rPr>
      </w:pPr>
    </w:p>
    <w:p w14:paraId="1C90F6CE" w14:textId="77777777" w:rsidR="005C5FB4" w:rsidRPr="00554F0B" w:rsidRDefault="005C5FB4" w:rsidP="005C5FB4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54F0B">
        <w:rPr>
          <w:sz w:val="28"/>
          <w:szCs w:val="28"/>
        </w:rPr>
        <w:tab/>
      </w:r>
      <w:r w:rsidRPr="00554F0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Кальчук</w:t>
      </w:r>
      <w:proofErr w:type="spellEnd"/>
      <w:r>
        <w:rPr>
          <w:sz w:val="28"/>
          <w:szCs w:val="28"/>
        </w:rPr>
        <w:t xml:space="preserve"> </w:t>
      </w:r>
      <w:r w:rsidRPr="00554F0B">
        <w:rPr>
          <w:sz w:val="28"/>
          <w:szCs w:val="28"/>
        </w:rPr>
        <w:t xml:space="preserve"> </w:t>
      </w:r>
    </w:p>
    <w:p w14:paraId="381370E2" w14:textId="77777777" w:rsidR="005C5FB4" w:rsidRDefault="005C5FB4" w:rsidP="005C5FB4">
      <w:pPr>
        <w:rPr>
          <w:b/>
          <w:sz w:val="24"/>
          <w:szCs w:val="24"/>
        </w:rPr>
      </w:pPr>
    </w:p>
    <w:p w14:paraId="5CDE5E80" w14:textId="77777777" w:rsidR="005C5FB4" w:rsidRDefault="005C5FB4" w:rsidP="005C5FB4">
      <w:pPr>
        <w:rPr>
          <w:b/>
          <w:sz w:val="24"/>
          <w:szCs w:val="24"/>
        </w:rPr>
      </w:pPr>
    </w:p>
    <w:p w14:paraId="59DC2A84" w14:textId="77777777" w:rsidR="005C5FB4" w:rsidRDefault="005C5FB4" w:rsidP="005C5FB4">
      <w:pPr>
        <w:rPr>
          <w:b/>
          <w:sz w:val="24"/>
          <w:szCs w:val="24"/>
        </w:rPr>
      </w:pPr>
    </w:p>
    <w:p w14:paraId="6E57F7DF" w14:textId="77777777" w:rsidR="005C5FB4" w:rsidRDefault="005C5FB4" w:rsidP="005C5FB4">
      <w:pPr>
        <w:rPr>
          <w:b/>
          <w:sz w:val="24"/>
          <w:szCs w:val="24"/>
        </w:rPr>
      </w:pPr>
    </w:p>
    <w:p w14:paraId="3FCD11C2" w14:textId="77777777" w:rsidR="005C5FB4" w:rsidRDefault="005C5FB4"/>
    <w:sectPr w:rsidR="005C5FB4" w:rsidSect="00086570">
      <w:pgSz w:w="11906" w:h="16838"/>
      <w:pgMar w:top="851" w:right="851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7CE2A" w14:textId="77777777" w:rsidR="00F66655" w:rsidRDefault="00F66655" w:rsidP="00086570">
      <w:r>
        <w:separator/>
      </w:r>
    </w:p>
  </w:endnote>
  <w:endnote w:type="continuationSeparator" w:id="0">
    <w:p w14:paraId="177D0B74" w14:textId="77777777" w:rsidR="00F66655" w:rsidRDefault="00F66655" w:rsidP="0008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24403" w14:textId="77777777" w:rsidR="00F66655" w:rsidRDefault="00F66655" w:rsidP="00086570">
      <w:r>
        <w:separator/>
      </w:r>
    </w:p>
  </w:footnote>
  <w:footnote w:type="continuationSeparator" w:id="0">
    <w:p w14:paraId="45427C14" w14:textId="77777777" w:rsidR="00F66655" w:rsidRDefault="00F66655" w:rsidP="00086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207C"/>
    <w:multiLevelType w:val="hybridMultilevel"/>
    <w:tmpl w:val="EF1A3E9E"/>
    <w:lvl w:ilvl="0" w:tplc="308E1DB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25F82"/>
    <w:multiLevelType w:val="hybridMultilevel"/>
    <w:tmpl w:val="7FE26F34"/>
    <w:lvl w:ilvl="0" w:tplc="FE5475E4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F54A81"/>
    <w:multiLevelType w:val="hybridMultilevel"/>
    <w:tmpl w:val="D7A67B0E"/>
    <w:lvl w:ilvl="0" w:tplc="15301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B4"/>
    <w:rsid w:val="00042AF1"/>
    <w:rsid w:val="000439BD"/>
    <w:rsid w:val="00086570"/>
    <w:rsid w:val="002C210F"/>
    <w:rsid w:val="002E5491"/>
    <w:rsid w:val="005C5FB4"/>
    <w:rsid w:val="00737B34"/>
    <w:rsid w:val="008B1D91"/>
    <w:rsid w:val="008E0822"/>
    <w:rsid w:val="00A41C34"/>
    <w:rsid w:val="00A750FE"/>
    <w:rsid w:val="00B15502"/>
    <w:rsid w:val="00B91299"/>
    <w:rsid w:val="00D208AA"/>
    <w:rsid w:val="00D934EA"/>
    <w:rsid w:val="00DA3E74"/>
    <w:rsid w:val="00E844A8"/>
    <w:rsid w:val="00EA6185"/>
    <w:rsid w:val="00F66655"/>
    <w:rsid w:val="00F93B7A"/>
    <w:rsid w:val="00FC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9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5F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C5F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5C5FB4"/>
    <w:rPr>
      <w:i/>
      <w:iCs/>
    </w:rPr>
  </w:style>
  <w:style w:type="paragraph" w:styleId="a6">
    <w:name w:val="List Paragraph"/>
    <w:basedOn w:val="a"/>
    <w:uiPriority w:val="34"/>
    <w:qFormat/>
    <w:rsid w:val="005C5FB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C5F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FB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0865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65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5F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C5F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5C5FB4"/>
    <w:rPr>
      <w:i/>
      <w:iCs/>
    </w:rPr>
  </w:style>
  <w:style w:type="paragraph" w:styleId="a6">
    <w:name w:val="List Paragraph"/>
    <w:basedOn w:val="a"/>
    <w:uiPriority w:val="34"/>
    <w:qFormat/>
    <w:rsid w:val="005C5FB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C5F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FB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0865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65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ramnews.ru/wp-content/uploads/2021/02/nac_proekty_logo_sin_prav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12</cp:revision>
  <dcterms:created xsi:type="dcterms:W3CDTF">2023-05-11T06:21:00Z</dcterms:created>
  <dcterms:modified xsi:type="dcterms:W3CDTF">2024-09-06T10:50:00Z</dcterms:modified>
</cp:coreProperties>
</file>